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8C" w:rsidRDefault="00CB328C" w:rsidP="00D3450B">
      <w:pPr>
        <w:pStyle w:val="NormalnyWeb"/>
        <w:spacing w:beforeAutospacing="0" w:after="0"/>
        <w:ind w:left="778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</w:t>
      </w:r>
      <w:r w:rsidR="0062038D">
        <w:rPr>
          <w:i/>
          <w:iCs/>
          <w:sz w:val="18"/>
          <w:szCs w:val="18"/>
        </w:rPr>
        <w:t>4</w:t>
      </w:r>
      <w:r>
        <w:rPr>
          <w:sz w:val="18"/>
          <w:szCs w:val="18"/>
        </w:rPr>
        <w:br/>
      </w:r>
      <w:r>
        <w:rPr>
          <w:i/>
          <w:iCs/>
          <w:sz w:val="18"/>
          <w:szCs w:val="18"/>
        </w:rPr>
        <w:t xml:space="preserve">do „Procedury naboru kandydatów do pracy w Starostwie </w:t>
      </w:r>
      <w:r>
        <w:rPr>
          <w:i/>
          <w:iCs/>
          <w:sz w:val="18"/>
          <w:szCs w:val="18"/>
        </w:rPr>
        <w:br/>
        <w:t xml:space="preserve">Powiatowym w Brzezinach oraz zasad pracy Komisji ds. Naboru” </w:t>
      </w:r>
      <w:r>
        <w:rPr>
          <w:i/>
          <w:iCs/>
          <w:sz w:val="18"/>
          <w:szCs w:val="18"/>
        </w:rPr>
        <w:br/>
        <w:t xml:space="preserve">wprowadzonej Zarządzeniem </w:t>
      </w:r>
      <w:r w:rsidR="0062038D">
        <w:rPr>
          <w:i/>
          <w:iCs/>
          <w:sz w:val="18"/>
          <w:szCs w:val="18"/>
        </w:rPr>
        <w:t xml:space="preserve">Nr 10 </w:t>
      </w:r>
      <w:r>
        <w:rPr>
          <w:i/>
          <w:iCs/>
          <w:sz w:val="18"/>
          <w:szCs w:val="18"/>
        </w:rPr>
        <w:t xml:space="preserve">Starosty Brzezińskiego z dnia 10 kwietnia 2015 r. </w:t>
      </w:r>
    </w:p>
    <w:p w:rsidR="0049217A" w:rsidRDefault="0049217A"/>
    <w:p w:rsidR="00CB328C" w:rsidRPr="00D3450B" w:rsidRDefault="00CB328C" w:rsidP="00CB328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450B">
        <w:rPr>
          <w:rFonts w:ascii="Times New Roman" w:hAnsi="Times New Roman" w:cs="Times New Roman"/>
          <w:b/>
          <w:i/>
          <w:sz w:val="24"/>
          <w:szCs w:val="24"/>
        </w:rPr>
        <w:t>Warunki pracy na stanowiskach urzędniczych w Starostwie Powiatowym w Brzezinach</w:t>
      </w:r>
      <w:r w:rsidRPr="00D3450B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CB328C" w:rsidRDefault="00CB328C" w:rsidP="00D34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informacje, w odniesieniu do poszczególnych stanowisk, stanowią integralną część ogłoszeń o naborze kandydatów do pracy </w:t>
      </w:r>
      <w:r w:rsidR="00D345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Starostwie Powiatowym w Brzezinach, zgodnie z postanowieniami § 16 ust. 2 pkt 18 „Procedury naboru kandydatów do pracy w Starostwie Powiatowym w Brzezinach oraz zasad prac Komisji ds. Naboru” wprowadzonych Zarządzeniem Nr 10 Starosty Brzezińskiego z dnia 10 kwietnia 2015 r. </w:t>
      </w:r>
    </w:p>
    <w:tbl>
      <w:tblPr>
        <w:tblStyle w:val="Tabela-Siatka"/>
        <w:tblW w:w="0" w:type="auto"/>
        <w:tblLook w:val="04A0"/>
      </w:tblPr>
      <w:tblGrid>
        <w:gridCol w:w="4390"/>
        <w:gridCol w:w="9604"/>
      </w:tblGrid>
      <w:tr w:rsidR="00CB328C" w:rsidTr="005C51C8">
        <w:tc>
          <w:tcPr>
            <w:tcW w:w="4390" w:type="dxa"/>
          </w:tcPr>
          <w:p w:rsidR="00CB328C" w:rsidRDefault="005C51C8" w:rsidP="005C51C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stanowiska </w:t>
            </w:r>
          </w:p>
          <w:p w:rsidR="005C51C8" w:rsidRDefault="005C51C8" w:rsidP="005C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C8" w:rsidRDefault="005C51C8" w:rsidP="005C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C8" w:rsidRDefault="005C51C8" w:rsidP="005C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C8" w:rsidRDefault="005C51C8" w:rsidP="005C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1C8" w:rsidRPr="005C51C8" w:rsidRDefault="005C51C8" w:rsidP="005C5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CB328C" w:rsidRPr="0062038D" w:rsidRDefault="005C51C8" w:rsidP="00CB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>Stanowiska szczebla zarządzającego                         Stanowiska szczebla wykonawczego</w:t>
            </w:r>
          </w:p>
          <w:p w:rsidR="005C51C8" w:rsidRPr="0062038D" w:rsidRDefault="005C51C8" w:rsidP="00CB32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1C8" w:rsidRPr="0062038D" w:rsidRDefault="005C51C8" w:rsidP="005C51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>Sekretarz Powiatu,                                          7. Radca prawny,</w:t>
            </w:r>
          </w:p>
          <w:p w:rsidR="005C51C8" w:rsidRPr="0062038D" w:rsidRDefault="005C51C8" w:rsidP="005C51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>Skarbnik Powiatu,                                           8. Główny specjalista,</w:t>
            </w:r>
          </w:p>
          <w:p w:rsidR="005C51C8" w:rsidRPr="0062038D" w:rsidRDefault="005C51C8" w:rsidP="005C51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>Naczelnik Wydziału,                                       9. Inspektor,</w:t>
            </w:r>
          </w:p>
          <w:p w:rsidR="005C51C8" w:rsidRPr="0062038D" w:rsidRDefault="005C51C8" w:rsidP="005C51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>Zastępca Naczelnika Wydziału,</w:t>
            </w:r>
            <w:r w:rsidR="00754B78"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>10. Podinspektor,</w:t>
            </w:r>
          </w:p>
          <w:p w:rsidR="005C51C8" w:rsidRPr="0062038D" w:rsidRDefault="005C51C8" w:rsidP="005C51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Geodeta Powiatowy,        </w:t>
            </w:r>
            <w:r w:rsidR="00754B78"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>11. Specjalista,</w:t>
            </w:r>
          </w:p>
          <w:p w:rsidR="005C51C8" w:rsidRPr="0062038D" w:rsidRDefault="005C51C8" w:rsidP="005C51C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Powiatowy Rzecznik,      </w:t>
            </w:r>
            <w:r w:rsidR="00754B78"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>12. Księgowy,</w:t>
            </w:r>
          </w:p>
          <w:p w:rsidR="005C51C8" w:rsidRPr="0062038D" w:rsidRDefault="00754B78" w:rsidP="005C51C8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</w:rPr>
            </w:pP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>Ochrony Konsumentów,                                 13. Referent,</w:t>
            </w:r>
          </w:p>
          <w:p w:rsidR="00754B78" w:rsidRPr="005C51C8" w:rsidRDefault="00754B78" w:rsidP="005C51C8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14. Młodszy referent.</w:t>
            </w:r>
          </w:p>
        </w:tc>
      </w:tr>
      <w:tr w:rsidR="005C51C8" w:rsidTr="00754B78">
        <w:tc>
          <w:tcPr>
            <w:tcW w:w="4390" w:type="dxa"/>
          </w:tcPr>
          <w:p w:rsidR="005C51C8" w:rsidRPr="00754B78" w:rsidRDefault="00754B78" w:rsidP="00754B78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Środowisko pracy </w:t>
            </w:r>
          </w:p>
        </w:tc>
        <w:tc>
          <w:tcPr>
            <w:tcW w:w="9604" w:type="dxa"/>
          </w:tcPr>
          <w:p w:rsidR="005C51C8" w:rsidRDefault="00754B78" w:rsidP="002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W systemie podstawowym czasu pracy </w:t>
            </w:r>
            <w:r w:rsidR="003D0A5F"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3450B"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rozpoczynanie pracy o godz. 8.00 i kończenie jej odpowiednio po przepracowaniu 8 godz. </w:t>
            </w:r>
            <w:r w:rsidR="003D0A5F"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tj. </w:t>
            </w:r>
            <w:r w:rsidR="00D3450B"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o godz. 16.00. Główna część pracy wykonywana jest na terenie jednostki: pomieszczenia biurowe, gabinety, w których wykonywana jest praca  </w:t>
            </w:r>
            <w:r w:rsidR="0062038D">
              <w:rPr>
                <w:rFonts w:ascii="Times New Roman" w:hAnsi="Times New Roman" w:cs="Times New Roman"/>
                <w:sz w:val="20"/>
                <w:szCs w:val="20"/>
              </w:rPr>
              <w:t xml:space="preserve">(budynek przy ul. Sienkiewicza 16 (parter) – z podjazdem przystosowanym do potrzeb osób niepełnosprawnych, budynek przy ul. Sienkiewicza 11 (parter) – bez podjazdu przystosowanego dla potrzeb osób niepełnosprawnych, budynek przy ul. Sienkiewicza 14 (parter i </w:t>
            </w:r>
            <w:proofErr w:type="spellStart"/>
            <w:r w:rsidR="0062038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62038D">
              <w:rPr>
                <w:rFonts w:ascii="Times New Roman" w:hAnsi="Times New Roman" w:cs="Times New Roman"/>
                <w:sz w:val="20"/>
                <w:szCs w:val="20"/>
              </w:rPr>
              <w:t xml:space="preserve"> piętro) – bez podjazdu przystosowanego dla potrzeb osób niepełnosprawnych) </w:t>
            </w:r>
            <w:r w:rsidR="00D3450B" w:rsidRPr="0062038D">
              <w:rPr>
                <w:rFonts w:ascii="Times New Roman" w:hAnsi="Times New Roman" w:cs="Times New Roman"/>
                <w:sz w:val="20"/>
                <w:szCs w:val="20"/>
              </w:rPr>
              <w:t xml:space="preserve">oraz pozostała infrastruktura budynku: sanitariaty, korytarze, drogi i przejścia, klatki schodowe – schody. Z pracą związane są wyjazdy służbowe, załatwianie spraw poza jednostką, współpraca z innymi instytucjami i interesantami. Osoby zatrudnione na stanowiskach szczebla zarządzającego i wykonawczego obsługują sprzęt komputerowy, biurowy, pracują </w:t>
            </w:r>
            <w:r w:rsidR="00620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450B" w:rsidRPr="0062038D">
              <w:rPr>
                <w:rFonts w:ascii="Times New Roman" w:hAnsi="Times New Roman" w:cs="Times New Roman"/>
                <w:sz w:val="20"/>
                <w:szCs w:val="20"/>
              </w:rPr>
              <w:t>na dokumentach, przyjmują interesantów.</w:t>
            </w:r>
            <w:r w:rsidR="00D345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2038D" w:rsidRPr="0062038D" w:rsidRDefault="0062038D" w:rsidP="002F5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51C8" w:rsidTr="00754B78">
        <w:tc>
          <w:tcPr>
            <w:tcW w:w="4390" w:type="dxa"/>
          </w:tcPr>
          <w:p w:rsidR="005C51C8" w:rsidRPr="00D3450B" w:rsidRDefault="00D3450B" w:rsidP="00D345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Środki pracy </w:t>
            </w:r>
          </w:p>
        </w:tc>
        <w:tc>
          <w:tcPr>
            <w:tcW w:w="9604" w:type="dxa"/>
          </w:tcPr>
          <w:p w:rsidR="005C51C8" w:rsidRDefault="003D0A5F" w:rsidP="002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z drukarką, laptop, kserokopiarka, niszczarka, faks i typowe narzędzia ręczne niezbędne w pracy biurowej.</w:t>
            </w:r>
          </w:p>
        </w:tc>
      </w:tr>
      <w:tr w:rsidR="005C51C8" w:rsidTr="00754B78">
        <w:tc>
          <w:tcPr>
            <w:tcW w:w="4390" w:type="dxa"/>
          </w:tcPr>
          <w:p w:rsidR="005C51C8" w:rsidRPr="003D0A5F" w:rsidRDefault="003D0A5F" w:rsidP="003D0A5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Wymagania psychologiczne, fizyczne i zdrowotne.</w:t>
            </w:r>
          </w:p>
        </w:tc>
        <w:tc>
          <w:tcPr>
            <w:tcW w:w="9604" w:type="dxa"/>
          </w:tcPr>
          <w:p w:rsidR="003D0A5F" w:rsidRDefault="003D0A5F" w:rsidP="002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Pracę na stanowiskach szczebla kierowniczego zalicza się do prac lekkich. Nie wymaga ona szczególnych właściwości psychofizycznych, choć wymaga dużej odporności psychicznej, dobrej komunikatywności, aktywności, gotowości do </w:t>
            </w:r>
            <w:r w:rsidR="00E569E7">
              <w:rPr>
                <w:rFonts w:ascii="Times New Roman" w:hAnsi="Times New Roman" w:cs="Times New Roman"/>
                <w:sz w:val="24"/>
                <w:szCs w:val="24"/>
              </w:rPr>
              <w:t>podejmowania kluczowych dla Urzę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du decyzji oraz odporności na stres. Od osób zajmujących stanowiska kierownicze wymagana jest umiejętność organizowania i kierowania pracą zespołu.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Pracę na stanowiskach szczebla wykonawczego zalicza się do prac lekkich pod względem obciążenia fizycznego. Nie wymaga szczególnych wymagań zdrowotnych, jedynie ogólnego dobrego stanu zdrowia. Od pracowników wymaga się podstawowych badań </w:t>
            </w:r>
            <w:r w:rsidR="00E569E7">
              <w:rPr>
                <w:rFonts w:ascii="Times New Roman" w:hAnsi="Times New Roman" w:cs="Times New Roman"/>
                <w:sz w:val="24"/>
                <w:szCs w:val="24"/>
              </w:rPr>
              <w:t>lekarskich. Wymagana jest sprawność komunikowania się na poziomie interpersonalnym.</w:t>
            </w:r>
          </w:p>
        </w:tc>
      </w:tr>
    </w:tbl>
    <w:p w:rsidR="00CB328C" w:rsidRDefault="00CB328C" w:rsidP="00CB32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390"/>
        <w:gridCol w:w="9604"/>
      </w:tblGrid>
      <w:tr w:rsidR="00CB328C" w:rsidTr="00E569E7">
        <w:tc>
          <w:tcPr>
            <w:tcW w:w="4390" w:type="dxa"/>
          </w:tcPr>
          <w:p w:rsidR="00CB328C" w:rsidRDefault="00E569E7" w:rsidP="00E569E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stanowiska.</w:t>
            </w:r>
          </w:p>
          <w:p w:rsidR="00E11642" w:rsidRDefault="00E11642" w:rsidP="00E1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642" w:rsidRPr="00E11642" w:rsidRDefault="00E11642" w:rsidP="00E11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4" w:type="dxa"/>
          </w:tcPr>
          <w:p w:rsidR="00CB328C" w:rsidRDefault="00E569E7" w:rsidP="002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</w:t>
            </w:r>
          </w:p>
        </w:tc>
      </w:tr>
      <w:tr w:rsidR="00CB328C" w:rsidTr="00E569E7">
        <w:tc>
          <w:tcPr>
            <w:tcW w:w="4390" w:type="dxa"/>
          </w:tcPr>
          <w:p w:rsidR="00CB328C" w:rsidRPr="00E569E7" w:rsidRDefault="00E569E7" w:rsidP="00E569E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9604" w:type="dxa"/>
          </w:tcPr>
          <w:p w:rsidR="00CB328C" w:rsidRDefault="00E569E7" w:rsidP="002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systemie podstawowym czasu pracy - rozpoczynanie pracy o godz. 8.00 i kończenie jej odpowiednio po przepracowaniu 8 godz. tj. o godz. 16.00. Większość czasu spędza na terenie jednostki (pomieszczenia biurowe). Porusza się drogami komunikacyjnymi wewnątrz budynku: korytarze, drogi i przejścia, klatki schodowe – schody. Porusza się także między poszczególnymi lokalizacjami Urzędu.</w:t>
            </w:r>
          </w:p>
        </w:tc>
      </w:tr>
      <w:tr w:rsidR="00CB328C" w:rsidTr="00E569E7">
        <w:tc>
          <w:tcPr>
            <w:tcW w:w="4390" w:type="dxa"/>
          </w:tcPr>
          <w:p w:rsidR="00CB328C" w:rsidRPr="00E569E7" w:rsidRDefault="00E569E7" w:rsidP="00E569E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pracy.</w:t>
            </w:r>
          </w:p>
        </w:tc>
        <w:tc>
          <w:tcPr>
            <w:tcW w:w="9604" w:type="dxa"/>
          </w:tcPr>
          <w:p w:rsidR="00E11642" w:rsidRDefault="00E569E7" w:rsidP="002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swojej pracy korzysta głównie z komputera stacjonarnego lub przenośnego (laptop) i urządzeń peryferyjnych: drukarek, ploterów, skanerów, rzutników itp.</w:t>
            </w:r>
            <w:bookmarkStart w:id="0" w:name="_GoBack"/>
            <w:bookmarkEnd w:id="0"/>
          </w:p>
        </w:tc>
      </w:tr>
      <w:tr w:rsidR="00CB328C" w:rsidTr="00E569E7">
        <w:tc>
          <w:tcPr>
            <w:tcW w:w="4390" w:type="dxa"/>
          </w:tcPr>
          <w:p w:rsidR="00CB328C" w:rsidRPr="00E569E7" w:rsidRDefault="00E569E7" w:rsidP="00E569E7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Wymagania psychologiczne, fizyczne i zdrowotne. </w:t>
            </w:r>
          </w:p>
        </w:tc>
        <w:tc>
          <w:tcPr>
            <w:tcW w:w="9604" w:type="dxa"/>
          </w:tcPr>
          <w:p w:rsidR="00CB328C" w:rsidRDefault="00E569E7" w:rsidP="002F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Praca na stanowisku informatyka ma charakter indywidualny, a w większości przypadków usługowy (np. naprawa, konserwacja, instalacja). Wymaga częstego kontaktu z innymi ludźmi </w:t>
            </w:r>
            <w:r w:rsidR="00B24C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współdziałania z innymi pracownikami</w:t>
            </w:r>
            <w:r w:rsidR="00E11642">
              <w:rPr>
                <w:rFonts w:ascii="Times New Roman" w:hAnsi="Times New Roman" w:cs="Times New Roman"/>
                <w:sz w:val="24"/>
                <w:szCs w:val="24"/>
              </w:rPr>
              <w:t>. Nie wymaga szczególnych wymagań zdrowotnych, jedynie ogólnego dobrego stanu zdrowia. Od pracowników wymaga się podstawowych badań lekarskich. Wymagana jest sprawność komunikowania się na poziomie interpersonalnym oraz umiejętność pracy w zespole.</w:t>
            </w:r>
          </w:p>
        </w:tc>
      </w:tr>
    </w:tbl>
    <w:p w:rsidR="00CB328C" w:rsidRDefault="00CB328C" w:rsidP="00CB328C">
      <w:pPr>
        <w:rPr>
          <w:rFonts w:ascii="Times New Roman" w:hAnsi="Times New Roman" w:cs="Times New Roman"/>
          <w:sz w:val="24"/>
          <w:szCs w:val="24"/>
        </w:rPr>
      </w:pPr>
    </w:p>
    <w:p w:rsidR="00E11642" w:rsidRPr="00E11642" w:rsidRDefault="00E11642" w:rsidP="00E11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pracy na stanowiskach są dodatkowo dookreślone wskazanym w ogłoszeniu o naborze zakresem zadań wykonywanych </w:t>
      </w:r>
      <w:r w:rsidR="00B24C8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na danym stanowisku – co wiąże się z wymogiem posiadania odpowiednich kompetencji oraz cech psychofizycznych niezbędnych </w:t>
      </w:r>
      <w:r w:rsidR="00B24C8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do wykonywania tych zadań. </w:t>
      </w:r>
    </w:p>
    <w:sectPr w:rsidR="00E11642" w:rsidRPr="00E11642" w:rsidSect="002C41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F22"/>
    <w:multiLevelType w:val="hybridMultilevel"/>
    <w:tmpl w:val="F11EA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4743"/>
    <w:multiLevelType w:val="hybridMultilevel"/>
    <w:tmpl w:val="1D605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50BAF"/>
    <w:multiLevelType w:val="hybridMultilevel"/>
    <w:tmpl w:val="33D00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1E5"/>
    <w:rsid w:val="002C41E5"/>
    <w:rsid w:val="002D4DFE"/>
    <w:rsid w:val="003D0A5F"/>
    <w:rsid w:val="0049217A"/>
    <w:rsid w:val="005C51C8"/>
    <w:rsid w:val="0062038D"/>
    <w:rsid w:val="00754B78"/>
    <w:rsid w:val="00B24C87"/>
    <w:rsid w:val="00CB328C"/>
    <w:rsid w:val="00D3450B"/>
    <w:rsid w:val="00E11642"/>
    <w:rsid w:val="00E56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32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B3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5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Balcerak</dc:creator>
  <cp:keywords/>
  <dc:description/>
  <cp:lastModifiedBy>Pracownik</cp:lastModifiedBy>
  <cp:revision>5</cp:revision>
  <dcterms:created xsi:type="dcterms:W3CDTF">2015-04-13T16:59:00Z</dcterms:created>
  <dcterms:modified xsi:type="dcterms:W3CDTF">2015-04-20T12:04:00Z</dcterms:modified>
</cp:coreProperties>
</file>